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CB445" w14:textId="13993930" w:rsidR="00CB275A" w:rsidRPr="00CE0F52" w:rsidRDefault="00217864" w:rsidP="00CB275A">
      <w:pPr>
        <w:pStyle w:val="NoSpacing"/>
        <w:jc w:val="center"/>
        <w:rPr>
          <w:b/>
          <w:sz w:val="44"/>
          <w:szCs w:val="36"/>
          <w:u w:val="single"/>
        </w:rPr>
      </w:pPr>
      <w:r w:rsidRPr="00CE0F52">
        <w:rPr>
          <w:b/>
          <w:sz w:val="44"/>
          <w:szCs w:val="36"/>
          <w:u w:val="single"/>
        </w:rPr>
        <w:t xml:space="preserve">Potentials for </w:t>
      </w:r>
      <w:r w:rsidR="00B45A4B">
        <w:rPr>
          <w:b/>
          <w:sz w:val="44"/>
          <w:szCs w:val="36"/>
          <w:u w:val="single"/>
        </w:rPr>
        <w:t>random</w:t>
      </w:r>
      <w:r w:rsidR="0005791A" w:rsidRPr="00CE0F52">
        <w:rPr>
          <w:b/>
          <w:sz w:val="44"/>
          <w:szCs w:val="36"/>
          <w:u w:val="single"/>
        </w:rPr>
        <w:t xml:space="preserve"> </w:t>
      </w:r>
      <w:r w:rsidRPr="00CE0F52">
        <w:rPr>
          <w:b/>
          <w:sz w:val="44"/>
          <w:szCs w:val="36"/>
          <w:u w:val="single"/>
        </w:rPr>
        <w:t>substances</w:t>
      </w:r>
    </w:p>
    <w:p w14:paraId="6D2C9F3E" w14:textId="11166A82" w:rsidR="00CB275A" w:rsidRDefault="00CB275A" w:rsidP="00CB275A">
      <w:pPr>
        <w:pStyle w:val="NoSpacing"/>
      </w:pPr>
    </w:p>
    <w:p w14:paraId="2400B905" w14:textId="77777777" w:rsidR="002E0348" w:rsidRDefault="002E0348" w:rsidP="00CB275A">
      <w:pPr>
        <w:pStyle w:val="NoSpacing"/>
      </w:pPr>
    </w:p>
    <w:p w14:paraId="34820022" w14:textId="347F4212" w:rsidR="002E0348" w:rsidRPr="002E0348" w:rsidRDefault="002E0348" w:rsidP="00CB275A">
      <w:pPr>
        <w:pStyle w:val="NoSpacing"/>
        <w:rPr>
          <w:b/>
          <w:sz w:val="28"/>
          <w:szCs w:val="28"/>
        </w:rPr>
      </w:pPr>
      <w:r w:rsidRPr="002E0348">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35pt;height:87.25pt" o:ole="">
            <v:imagedata r:id="rId4" o:title=""/>
          </v:shape>
          <o:OLEObject Type="Embed" ProgID="Equation.DSMT4" ShapeID="_x0000_i1025" DrawAspect="Content" ObjectID="_1784298791" r:id="rId5"/>
        </w:object>
      </w:r>
    </w:p>
    <w:p w14:paraId="15575107" w14:textId="77777777" w:rsidR="00F65C70" w:rsidRDefault="00F65C70" w:rsidP="005617F5">
      <w:pPr>
        <w:pStyle w:val="NoSpacing"/>
      </w:pPr>
    </w:p>
    <w:p w14:paraId="51CC40E0" w14:textId="77777777"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xml:space="preserve">), to construct the potentials.  For instance, forming the differential of </w:t>
      </w:r>
      <w:r w:rsidRPr="001C1795">
        <w:rPr>
          <w:u w:val="single"/>
        </w:rPr>
        <w:t>U</w:t>
      </w:r>
      <w:r>
        <w:t>(T,</w:t>
      </w:r>
      <w:r w:rsidRPr="001C1795">
        <w:rPr>
          <w:u w:val="single"/>
        </w:rPr>
        <w:t>V</w:t>
      </w:r>
      <w:r>
        <w:t>) we have:</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5.65pt;height:36.55pt" o:ole="">
            <v:imagedata r:id="rId6" o:title=""/>
          </v:shape>
          <o:OLEObject Type="Embed" ProgID="Equation.DSMT4" ShapeID="_x0000_i1026" DrawAspect="Content" ObjectID="_1784298792" r:id="rId7"/>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8" o:title=""/>
          </v:shape>
          <o:OLEObject Type="Embed" ProgID="Equation.DSMT4" ShapeID="_x0000_i1027" DrawAspect="Content" ObjectID="_1784298793" r:id="rId9"/>
        </w:object>
      </w:r>
    </w:p>
    <w:p w14:paraId="144E6A71" w14:textId="77777777" w:rsidR="00A80063" w:rsidRDefault="00A80063" w:rsidP="00A80063">
      <w:pPr>
        <w:pStyle w:val="NoSpacing"/>
      </w:pPr>
    </w:p>
    <w:p w14:paraId="1F562CFF" w14:textId="77777777" w:rsidR="00A80063" w:rsidRDefault="00A80063" w:rsidP="00A80063">
      <w:pPr>
        <w:pStyle w:val="NoSpacing"/>
      </w:pPr>
      <w:r>
        <w:t>and,</w:t>
      </w:r>
    </w:p>
    <w:p w14:paraId="4808F21A" w14:textId="77777777" w:rsidR="00A80063" w:rsidRDefault="00A80063" w:rsidP="00A80063">
      <w:pPr>
        <w:pStyle w:val="NoSpacing"/>
      </w:pPr>
    </w:p>
    <w:p w14:paraId="1A3CA384" w14:textId="77777777" w:rsidR="00A80063" w:rsidRPr="00256330" w:rsidRDefault="00A80063" w:rsidP="00A80063">
      <w:pPr>
        <w:pStyle w:val="NoSpacing"/>
      </w:pPr>
      <w:r w:rsidRPr="00A80063">
        <w:rPr>
          <w:position w:val="-32"/>
        </w:rPr>
        <w:object w:dxaOrig="6880" w:dyaOrig="740" w14:anchorId="521C21A2">
          <v:shape id="_x0000_i1028" type="#_x0000_t75" style="width:344.2pt;height:36.55pt" o:ole="">
            <v:imagedata r:id="rId10" o:title=""/>
          </v:shape>
          <o:OLEObject Type="Embed" ProgID="Equation.DSMT4" ShapeID="_x0000_i1028" DrawAspect="Content" ObjectID="_1784298794" r:id="rId11"/>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77777777" w:rsidR="00A80063" w:rsidRDefault="00976DDA" w:rsidP="005617F5">
      <w:pPr>
        <w:pStyle w:val="NoSpacing"/>
      </w:pPr>
      <w:r w:rsidRPr="00A80063">
        <w:rPr>
          <w:position w:val="-28"/>
        </w:rPr>
        <w:object w:dxaOrig="2780" w:dyaOrig="680" w14:anchorId="1C4313BB">
          <v:shape id="_x0000_i1029" type="#_x0000_t75" style="width:138.55pt;height:34.9pt" o:ole="">
            <v:imagedata r:id="rId12" o:title=""/>
          </v:shape>
          <o:OLEObject Type="Embed" ProgID="Equation.DSMT4" ShapeID="_x0000_i1029" DrawAspect="Content" ObjectID="_1784298795" r:id="rId13"/>
        </w:objec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4" o:title=""/>
          </v:shape>
          <o:OLEObject Type="Embed" ProgID="Equation.DSMT4" ShapeID="_x0000_i1030" DrawAspect="Content" ObjectID="_1784298796" r:id="rId15"/>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6.35pt;height:36pt" o:ole="">
            <v:imagedata r:id="rId16" o:title=""/>
          </v:shape>
          <o:OLEObject Type="Embed" ProgID="Equation.DSMT4" ShapeID="_x0000_i1031" DrawAspect="Content" ObjectID="_1784298797" r:id="rId17"/>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2.9pt;height:36pt" o:ole="">
            <v:imagedata r:id="rId18" o:title=""/>
          </v:shape>
          <o:OLEObject Type="Embed" ProgID="Equation.DSMT4" ShapeID="_x0000_i1032" DrawAspect="Content" ObjectID="_1784298798" r:id="rId19"/>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1.1pt;height:36pt" o:ole="">
            <v:imagedata r:id="rId20" o:title=""/>
          </v:shape>
          <o:OLEObject Type="Embed" ProgID="Equation.DSMT4" ShapeID="_x0000_i1033" DrawAspect="Content" ObjectID="_1784298799" r:id="rId21"/>
        </w:object>
      </w:r>
    </w:p>
    <w:p w14:paraId="517A834C" w14:textId="77777777" w:rsidR="00A80063" w:rsidRDefault="00A80063" w:rsidP="005617F5">
      <w:pPr>
        <w:pStyle w:val="NoSpacing"/>
      </w:pPr>
    </w:p>
    <w:p w14:paraId="640BEA07" w14:textId="77777777" w:rsidR="003D6083" w:rsidRDefault="003D6083" w:rsidP="005617F5">
      <w:pPr>
        <w:pStyle w:val="NoSpacing"/>
      </w:pPr>
      <w:r>
        <w:t xml:space="preserve">With U(T,V) and S(T,V), we can then invert to get S in terms of its canonical variables, as well as the other potentials as desired.  </w:t>
      </w:r>
    </w:p>
    <w:p w14:paraId="26194E40" w14:textId="77777777" w:rsidR="00AF3EAA" w:rsidRDefault="00AF3EAA" w:rsidP="00AF3EAA">
      <w:pPr>
        <w:pStyle w:val="NoSpacing"/>
      </w:pPr>
    </w:p>
    <w:p w14:paraId="33DBC3DE" w14:textId="77777777" w:rsidR="00AF3EAA" w:rsidRPr="002E0348" w:rsidRDefault="00D941C7" w:rsidP="00AF3EAA">
      <w:pPr>
        <w:pStyle w:val="NoSpacing"/>
        <w:rPr>
          <w:b/>
          <w:sz w:val="28"/>
          <w:szCs w:val="24"/>
        </w:rPr>
      </w:pPr>
      <w:r w:rsidRPr="002E0348">
        <w:rPr>
          <w:b/>
          <w:sz w:val="28"/>
          <w:szCs w:val="24"/>
        </w:rPr>
        <w:t>Ideal m</w:t>
      </w:r>
      <w:r w:rsidR="00AF3EAA" w:rsidRPr="002E0348">
        <w:rPr>
          <w:b/>
          <w:sz w:val="28"/>
          <w:szCs w:val="24"/>
        </w:rPr>
        <w:t>olecular gas</w:t>
      </w:r>
    </w:p>
    <w:p w14:paraId="10F5F497" w14:textId="77777777" w:rsidR="00AF3EAA" w:rsidRDefault="00AF3EAA" w:rsidP="00AF3EAA">
      <w:pPr>
        <w:pStyle w:val="NoSpacing"/>
      </w:pPr>
      <w:r>
        <w:t xml:space="preserve">Suppose that the gas particles are molecular, as is allowed even above, and that we take into account the bond strength of the molecule, </w:t>
      </w:r>
      <w:r>
        <w:rPr>
          <w:rFonts w:ascii="Calibri" w:hAnsi="Calibri"/>
        </w:rPr>
        <w:t>φ (a negative #)</w:t>
      </w:r>
      <w:r>
        <w:t xml:space="preserve"> so that the internal energy is U = KE + N</w:t>
      </w:r>
      <w:r>
        <w:rPr>
          <w:rFonts w:ascii="Calibri" w:hAnsi="Calibri"/>
        </w:rPr>
        <w:t>φ</w:t>
      </w:r>
      <w:r>
        <w:t>.  What changes then?  Well I would suppose that the entropy is function of KE, V, and N, really, so that we could say:</w:t>
      </w:r>
    </w:p>
    <w:p w14:paraId="46B50FA2" w14:textId="77777777" w:rsidR="00AF3EAA" w:rsidRDefault="00AF3EAA" w:rsidP="00AF3EAA">
      <w:pPr>
        <w:pStyle w:val="NoSpacing"/>
      </w:pPr>
    </w:p>
    <w:p w14:paraId="2B259E55" w14:textId="77777777" w:rsidR="00AF3EAA" w:rsidRDefault="00AF3EAA" w:rsidP="00AF3EAA">
      <w:pPr>
        <w:pStyle w:val="NoSpacing"/>
      </w:pPr>
      <w:r w:rsidRPr="00915E27">
        <w:rPr>
          <w:position w:val="-38"/>
        </w:rPr>
        <w:object w:dxaOrig="3300" w:dyaOrig="880" w14:anchorId="537C5B50">
          <v:shape id="_x0000_i1034" type="#_x0000_t75" style="width:165.8pt;height:43.65pt" o:ole="">
            <v:imagedata r:id="rId22" o:title=""/>
          </v:shape>
          <o:OLEObject Type="Embed" ProgID="Equation.DSMT4" ShapeID="_x0000_i1034" DrawAspect="Content" ObjectID="_1784298800" r:id="rId23"/>
        </w:object>
      </w:r>
    </w:p>
    <w:p w14:paraId="5D37EC9B" w14:textId="77777777" w:rsidR="00AF3EAA" w:rsidRDefault="00AF3EAA" w:rsidP="00AF3EAA">
      <w:pPr>
        <w:pStyle w:val="NoSpacing"/>
      </w:pPr>
    </w:p>
    <w:p w14:paraId="457CEC52" w14:textId="77777777" w:rsidR="00AF3EAA" w:rsidRDefault="00AF3EAA" w:rsidP="00AF3EAA">
      <w:pPr>
        <w:pStyle w:val="NoSpacing"/>
      </w:pPr>
      <w:r>
        <w:t>What then is T?</w:t>
      </w:r>
    </w:p>
    <w:p w14:paraId="6482E2D9" w14:textId="77777777" w:rsidR="00AF3EAA" w:rsidRDefault="00AF3EAA" w:rsidP="00AF3EAA">
      <w:pPr>
        <w:pStyle w:val="NoSpacing"/>
      </w:pPr>
    </w:p>
    <w:p w14:paraId="0C458F9A" w14:textId="77777777" w:rsidR="00AF3EAA" w:rsidRDefault="00AF3EAA" w:rsidP="00AF3EAA">
      <w:pPr>
        <w:pStyle w:val="NoSpacing"/>
      </w:pPr>
      <w:r w:rsidRPr="009C4DDE">
        <w:rPr>
          <w:position w:val="-126"/>
        </w:rPr>
        <w:object w:dxaOrig="1820" w:dyaOrig="2640" w14:anchorId="64C7FCFA">
          <v:shape id="_x0000_i1035" type="#_x0000_t75" style="width:91.1pt;height:132pt" o:ole="">
            <v:imagedata r:id="rId24" o:title=""/>
          </v:shape>
          <o:OLEObject Type="Embed" ProgID="Equation.DSMT4" ShapeID="_x0000_i1035" DrawAspect="Content" ObjectID="_1784298801" r:id="rId25"/>
        </w:object>
      </w:r>
    </w:p>
    <w:p w14:paraId="63A2C895" w14:textId="77777777" w:rsidR="00AF3EAA" w:rsidRDefault="00AF3EAA" w:rsidP="00AF3EAA">
      <w:pPr>
        <w:pStyle w:val="NoSpacing"/>
      </w:pPr>
    </w:p>
    <w:p w14:paraId="76F5DA76" w14:textId="77777777" w:rsidR="00AF3EAA" w:rsidRDefault="00AF3EAA" w:rsidP="00AF3EAA">
      <w:pPr>
        <w:pStyle w:val="NoSpacing"/>
      </w:pPr>
      <w:r>
        <w:t>What about pressure?</w:t>
      </w:r>
    </w:p>
    <w:p w14:paraId="50CAD501" w14:textId="77777777" w:rsidR="00AF3EAA" w:rsidRDefault="00AF3EAA" w:rsidP="00AF3EAA">
      <w:pPr>
        <w:pStyle w:val="NoSpacing"/>
      </w:pPr>
    </w:p>
    <w:p w14:paraId="105A762F" w14:textId="77777777" w:rsidR="00AF3EAA" w:rsidRDefault="00AF3EAA" w:rsidP="00AF3EAA">
      <w:pPr>
        <w:pStyle w:val="NoSpacing"/>
      </w:pPr>
      <w:r w:rsidRPr="009C4DDE">
        <w:rPr>
          <w:position w:val="-58"/>
        </w:rPr>
        <w:object w:dxaOrig="840" w:dyaOrig="1280" w14:anchorId="6740F8C1">
          <v:shape id="_x0000_i1036" type="#_x0000_t75" style="width:42pt;height:64.35pt" o:ole="">
            <v:imagedata r:id="rId26" o:title=""/>
          </v:shape>
          <o:OLEObject Type="Embed" ProgID="Equation.DSMT4" ShapeID="_x0000_i1036" DrawAspect="Content" ObjectID="_1784298802" r:id="rId27"/>
        </w:object>
      </w:r>
    </w:p>
    <w:p w14:paraId="7974B559" w14:textId="77777777" w:rsidR="00AF3EAA" w:rsidRDefault="00AF3EAA" w:rsidP="00AF3EAA">
      <w:pPr>
        <w:pStyle w:val="NoSpacing"/>
      </w:pPr>
    </w:p>
    <w:p w14:paraId="0D5E1417" w14:textId="77777777" w:rsidR="00AF3EAA" w:rsidRDefault="00AF3EAA" w:rsidP="00AF3EAA">
      <w:pPr>
        <w:pStyle w:val="NoSpacing"/>
      </w:pPr>
      <w:r>
        <w:t>and so that is as before as well, which is to be expected.  And so the entropy would be the same function of temperature as before,</w:t>
      </w:r>
    </w:p>
    <w:p w14:paraId="6D357A76" w14:textId="77777777" w:rsidR="00AF3EAA" w:rsidRDefault="00AF3EAA" w:rsidP="00AF3EAA">
      <w:pPr>
        <w:pStyle w:val="NoSpacing"/>
      </w:pPr>
    </w:p>
    <w:p w14:paraId="37A80557" w14:textId="77777777" w:rsidR="00AF3EAA" w:rsidRDefault="00AF3EAA" w:rsidP="00AF3EAA">
      <w:pPr>
        <w:pStyle w:val="NoSpacing"/>
      </w:pPr>
      <w:r w:rsidRPr="009C4DDE">
        <w:rPr>
          <w:position w:val="-32"/>
        </w:rPr>
        <w:object w:dxaOrig="1960" w:dyaOrig="760" w14:anchorId="42940092">
          <v:shape id="_x0000_i1037" type="#_x0000_t75" style="width:97.65pt;height:37.65pt" o:ole="">
            <v:imagedata r:id="rId28" o:title=""/>
          </v:shape>
          <o:OLEObject Type="Embed" ProgID="Equation.DSMT4" ShapeID="_x0000_i1037" DrawAspect="Content" ObjectID="_1784298803" r:id="rId29"/>
        </w:object>
      </w:r>
    </w:p>
    <w:p w14:paraId="43E1B9D7" w14:textId="77777777" w:rsidR="00AF3EAA" w:rsidRDefault="00AF3EAA" w:rsidP="00AF3EAA">
      <w:pPr>
        <w:pStyle w:val="NoSpacing"/>
      </w:pPr>
    </w:p>
    <w:p w14:paraId="45A341C6" w14:textId="77777777" w:rsidR="00AF3EAA" w:rsidRDefault="00AF3EAA" w:rsidP="00AF3EAA">
      <w:pPr>
        <w:pStyle w:val="NoSpacing"/>
      </w:pPr>
      <w:r>
        <w:t>and the free energy would therefore be:</w:t>
      </w:r>
    </w:p>
    <w:p w14:paraId="231F2C83" w14:textId="77777777" w:rsidR="00AF3EAA" w:rsidRDefault="00AF3EAA" w:rsidP="00AF3EAA">
      <w:pPr>
        <w:pStyle w:val="NoSpacing"/>
      </w:pPr>
    </w:p>
    <w:p w14:paraId="7DFB606C" w14:textId="77777777" w:rsidR="00AF3EAA" w:rsidRDefault="00AF3EAA" w:rsidP="00AF3EAA">
      <w:pPr>
        <w:pStyle w:val="NoSpacing"/>
      </w:pPr>
      <w:r w:rsidRPr="009C4DDE">
        <w:rPr>
          <w:position w:val="-48"/>
        </w:rPr>
        <w:object w:dxaOrig="3580" w:dyaOrig="1080" w14:anchorId="42E6AF90">
          <v:shape id="_x0000_i1038" type="#_x0000_t75" style="width:179.45pt;height:54pt" o:ole="">
            <v:imagedata r:id="rId30" o:title=""/>
          </v:shape>
          <o:OLEObject Type="Embed" ProgID="Equation.DSMT4" ShapeID="_x0000_i1038" DrawAspect="Content" ObjectID="_1784298804" r:id="rId31"/>
        </w:object>
      </w:r>
    </w:p>
    <w:p w14:paraId="2FAF1056" w14:textId="77777777" w:rsidR="00AF3EAA" w:rsidRDefault="00AF3EAA" w:rsidP="00AF3EAA">
      <w:pPr>
        <w:pStyle w:val="NoSpacing"/>
      </w:pPr>
    </w:p>
    <w:p w14:paraId="6A128BE1" w14:textId="77777777" w:rsidR="00AF3EAA" w:rsidRDefault="00AF3EAA" w:rsidP="00AF3EAA">
      <w:pPr>
        <w:pStyle w:val="NoSpacing"/>
      </w:pPr>
      <w:r>
        <w:t>and Gibbs energy is:</w:t>
      </w:r>
    </w:p>
    <w:p w14:paraId="648D325E" w14:textId="77777777" w:rsidR="00AF3EAA" w:rsidRDefault="00AF3EAA" w:rsidP="00AF3EAA">
      <w:pPr>
        <w:pStyle w:val="NoSpacing"/>
      </w:pPr>
    </w:p>
    <w:p w14:paraId="17D2351D" w14:textId="77777777" w:rsidR="00AF3EAA" w:rsidRDefault="00AF3EAA" w:rsidP="00951096">
      <w:pPr>
        <w:pStyle w:val="NoSpacing"/>
      </w:pPr>
      <w:r w:rsidRPr="00320212">
        <w:rPr>
          <w:position w:val="-124"/>
        </w:rPr>
        <w:object w:dxaOrig="4920" w:dyaOrig="2600" w14:anchorId="26EA0EF1">
          <v:shape id="_x0000_i1039" type="#_x0000_t75" style="width:246pt;height:130.9pt" o:ole="">
            <v:imagedata r:id="rId32" o:title=""/>
          </v:shape>
          <o:OLEObject Type="Embed" ProgID="Equation.DSMT4" ShapeID="_x0000_i1039" DrawAspect="Content" ObjectID="_1784298805" r:id="rId33"/>
        </w:object>
      </w:r>
    </w:p>
    <w:p w14:paraId="764C61C3" w14:textId="77777777" w:rsidR="00AF3EAA" w:rsidRDefault="00AF3EAA" w:rsidP="00951096">
      <w:pPr>
        <w:pStyle w:val="NoSpacing"/>
      </w:pPr>
    </w:p>
    <w:sectPr w:rsidR="00AF3E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56E"/>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C9C"/>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E56"/>
    <w:rsid w:val="000E638F"/>
    <w:rsid w:val="000E6630"/>
    <w:rsid w:val="000E73C9"/>
    <w:rsid w:val="000F0078"/>
    <w:rsid w:val="000F03E5"/>
    <w:rsid w:val="000F0715"/>
    <w:rsid w:val="000F1159"/>
    <w:rsid w:val="000F11C4"/>
    <w:rsid w:val="000F12CF"/>
    <w:rsid w:val="000F1530"/>
    <w:rsid w:val="000F211B"/>
    <w:rsid w:val="000F221C"/>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5F56"/>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F50"/>
    <w:rsid w:val="00164451"/>
    <w:rsid w:val="00164603"/>
    <w:rsid w:val="00164C6B"/>
    <w:rsid w:val="001652CB"/>
    <w:rsid w:val="0016534D"/>
    <w:rsid w:val="00165B30"/>
    <w:rsid w:val="00166631"/>
    <w:rsid w:val="00166B3B"/>
    <w:rsid w:val="00166FD0"/>
    <w:rsid w:val="0016736B"/>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795"/>
    <w:rsid w:val="001C1CE8"/>
    <w:rsid w:val="001C2D85"/>
    <w:rsid w:val="001C306A"/>
    <w:rsid w:val="001C30A5"/>
    <w:rsid w:val="001C332B"/>
    <w:rsid w:val="001C3915"/>
    <w:rsid w:val="001C3E61"/>
    <w:rsid w:val="001C4607"/>
    <w:rsid w:val="001C46ED"/>
    <w:rsid w:val="001C474A"/>
    <w:rsid w:val="001C4962"/>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B04"/>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6F6B"/>
    <w:rsid w:val="00237108"/>
    <w:rsid w:val="0023728A"/>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348"/>
    <w:rsid w:val="002E07A8"/>
    <w:rsid w:val="002E0D36"/>
    <w:rsid w:val="002E1152"/>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EDE"/>
    <w:rsid w:val="002F6097"/>
    <w:rsid w:val="002F68B1"/>
    <w:rsid w:val="002F6DC8"/>
    <w:rsid w:val="002F72BC"/>
    <w:rsid w:val="00300366"/>
    <w:rsid w:val="00300EF0"/>
    <w:rsid w:val="0030122D"/>
    <w:rsid w:val="003012D1"/>
    <w:rsid w:val="00302244"/>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E02"/>
    <w:rsid w:val="00315318"/>
    <w:rsid w:val="00315859"/>
    <w:rsid w:val="00316129"/>
    <w:rsid w:val="003165EF"/>
    <w:rsid w:val="0031744B"/>
    <w:rsid w:val="00317A02"/>
    <w:rsid w:val="00320074"/>
    <w:rsid w:val="00320212"/>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D05"/>
    <w:rsid w:val="00360E7F"/>
    <w:rsid w:val="00361FB6"/>
    <w:rsid w:val="003621DD"/>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58A"/>
    <w:rsid w:val="003E49AF"/>
    <w:rsid w:val="003E4C59"/>
    <w:rsid w:val="003E4FDF"/>
    <w:rsid w:val="003E531D"/>
    <w:rsid w:val="003E57A0"/>
    <w:rsid w:val="003E5B94"/>
    <w:rsid w:val="003E5DF9"/>
    <w:rsid w:val="003E7184"/>
    <w:rsid w:val="003F0564"/>
    <w:rsid w:val="003F0687"/>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794"/>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630"/>
    <w:rsid w:val="00523725"/>
    <w:rsid w:val="00523BD9"/>
    <w:rsid w:val="00523FB2"/>
    <w:rsid w:val="0052475D"/>
    <w:rsid w:val="00524980"/>
    <w:rsid w:val="00524D34"/>
    <w:rsid w:val="00525823"/>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2D9"/>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940"/>
    <w:rsid w:val="00682B06"/>
    <w:rsid w:val="0068315D"/>
    <w:rsid w:val="006838B2"/>
    <w:rsid w:val="006839A2"/>
    <w:rsid w:val="00683C2F"/>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FF2"/>
    <w:rsid w:val="00745140"/>
    <w:rsid w:val="00745A93"/>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5E54"/>
    <w:rsid w:val="00806116"/>
    <w:rsid w:val="008075A1"/>
    <w:rsid w:val="008103E7"/>
    <w:rsid w:val="00810533"/>
    <w:rsid w:val="00810669"/>
    <w:rsid w:val="008109B1"/>
    <w:rsid w:val="008109B7"/>
    <w:rsid w:val="00810E70"/>
    <w:rsid w:val="0081178E"/>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29D"/>
    <w:rsid w:val="008E3F9D"/>
    <w:rsid w:val="008E4852"/>
    <w:rsid w:val="008E5A61"/>
    <w:rsid w:val="008E5CA3"/>
    <w:rsid w:val="008E5E46"/>
    <w:rsid w:val="008E6600"/>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2C4"/>
    <w:rsid w:val="009C13F8"/>
    <w:rsid w:val="009C1672"/>
    <w:rsid w:val="009C16BE"/>
    <w:rsid w:val="009C1ACA"/>
    <w:rsid w:val="009C1B41"/>
    <w:rsid w:val="009C1FA7"/>
    <w:rsid w:val="009C30F0"/>
    <w:rsid w:val="009C370A"/>
    <w:rsid w:val="009C3AD0"/>
    <w:rsid w:val="009C42C9"/>
    <w:rsid w:val="009C42F5"/>
    <w:rsid w:val="009C47EF"/>
    <w:rsid w:val="009C4DDE"/>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10"/>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67"/>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32F"/>
    <w:rsid w:val="00A91D7F"/>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492"/>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A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4F33"/>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F8D"/>
    <w:rsid w:val="00C274F9"/>
    <w:rsid w:val="00C2760B"/>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A9A"/>
    <w:rsid w:val="00C46DF4"/>
    <w:rsid w:val="00C47447"/>
    <w:rsid w:val="00C47492"/>
    <w:rsid w:val="00C47D51"/>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59DC"/>
    <w:rsid w:val="00C8649B"/>
    <w:rsid w:val="00C8693B"/>
    <w:rsid w:val="00C86FAB"/>
    <w:rsid w:val="00C87136"/>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39F"/>
    <w:rsid w:val="00CC2A13"/>
    <w:rsid w:val="00CC2A6B"/>
    <w:rsid w:val="00CC2C01"/>
    <w:rsid w:val="00CC2DB0"/>
    <w:rsid w:val="00CC39E1"/>
    <w:rsid w:val="00CC400D"/>
    <w:rsid w:val="00CC48DA"/>
    <w:rsid w:val="00CC4AC6"/>
    <w:rsid w:val="00CC4EDB"/>
    <w:rsid w:val="00CC4F45"/>
    <w:rsid w:val="00CC4F59"/>
    <w:rsid w:val="00CC53DF"/>
    <w:rsid w:val="00CC574D"/>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272"/>
    <w:rsid w:val="00CE4704"/>
    <w:rsid w:val="00CE4BF2"/>
    <w:rsid w:val="00CE4F1D"/>
    <w:rsid w:val="00CE5046"/>
    <w:rsid w:val="00CE544F"/>
    <w:rsid w:val="00CE55BD"/>
    <w:rsid w:val="00CE58BF"/>
    <w:rsid w:val="00CE595C"/>
    <w:rsid w:val="00CE6199"/>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38B8"/>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FBF"/>
    <w:rsid w:val="00F223B2"/>
    <w:rsid w:val="00F22897"/>
    <w:rsid w:val="00F23544"/>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01"/>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78"/>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theme" Target="theme/theme1.xml"/><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4074</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246</cp:revision>
  <dcterms:created xsi:type="dcterms:W3CDTF">2014-05-11T05:19:00Z</dcterms:created>
  <dcterms:modified xsi:type="dcterms:W3CDTF">2024-08-04T21:45:00Z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